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4535"/>
      </w:tblGrid>
      <w:tr>
        <w:tc>
          <w:tcPr>
            <w:tcW w:type="dxa" w:w="5102"/>
            <w:vAlign w:val="center"/>
            <w:tcBorders>
              <w:top w:val="nil"/>
              <w:left w:val="nil"/>
              <w:bottom w:val="single" w:sz="12" w:color="1E6F5C"/>
              <w:right w:val="nil"/>
            </w:tcBorders>
          </w:tcPr>
          <w:p>
            <w:pPr>
              <w:spacing w:before="0" w:after="160"/>
            </w:pPr>
            <w:r>
              <w:drawing>
                <wp:inline xmlns:a="http://schemas.openxmlformats.org/drawingml/2006/main" xmlns:pic="http://schemas.openxmlformats.org/drawingml/2006/picture">
                  <wp:extent cx="1997755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755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35"/>
            <w:vAlign w:val="center"/>
            <w:tcBorders>
              <w:top w:val="nil"/>
              <w:left w:val="nil"/>
              <w:bottom w:val="single" w:sz="12" w:color="1E6F5C"/>
              <w:right w:val="nil"/>
            </w:tcBorders>
          </w:tcPr>
          <w:p>
            <w:pPr>
              <w:spacing w:before="0" w:after="160"/>
              <w:jc w:val="right"/>
            </w:pPr>
            <w:r>
              <w:rPr>
                <w:rFonts w:ascii="Satoshi Medium" w:hAnsi="Satoshi Medium" w:cs="Satoshi Medium" w:eastAsia="Satoshi Medium"/>
                <w:color w:val="1E6F5C"/>
                <w:sz w:val="16"/>
                <w:spacing w:val="20"/>
              </w:rPr>
              <w:t>SCHEDA · GARANZIA DEI COSTI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60"/>
      </w:pPr>
      <w:r>
        <w:rPr>
          <w:rFonts w:ascii="Satoshi" w:hAnsi="Satoshi" w:cs="Satoshi" w:eastAsia="Satoshi"/>
          <w:b/>
          <w:color w:val="1E6F5C"/>
          <w:sz w:val="16"/>
          <w:spacing w:val="20"/>
        </w:rPr>
        <w:t>INDICAZIONI PRATICHE · QUESTA PAGINA NON VA SPEDITA</w:t>
      </w:r>
    </w:p>
    <w:p>
      <w:pPr>
        <w:pStyle w:val="Heading1"/>
      </w:pPr>
      <w:r>
        <w:t>Valutazione della terapia con cannabis medicinale per la domanda di garanzia dei costi</w:t>
      </w:r>
    </w:p>
    <w:p>
      <w:r>
        <w:t>L'assunzione dei costi della cannabis medicinale da parte dell'assicurazione obbligatoria delle cure medico-sanitarie (AOMS) è valutata nel singolo caso. La copertura di un'eventuale prova terapeutica va chiarita preventivamente con l'assicuratore malattia; non si può presumere che sia automaticamente rimborsata né che debba essere sempre autofinanziata.</w:t>
      </w:r>
    </w:p>
    <w:p>
      <w:r>
        <w:t>Per la domanda si può utilizzare un modello di richiesta di garanzia di assunzione dei costi compilato dal medico curante. È inoltre utile valutare singole limitazioni, disagi e sintomi, ad esempio mediante una scala analogica visiva (VAS), per quantificare i disturbi e rivalutarli dopo circa uno o due mesi di trattamento con cannabis, così da stimare l'effetto della terapia.</w:t>
      </w:r>
    </w:p>
    <w:p>
      <w:r>
        <w:t>Si possono rilevare, per esempio, i seguenti aspetti (selezione tratta dalla pratica clinica, non esaustiva):</w:t>
      </w:r>
    </w:p>
    <w:p>
      <w:pPr>
        <w:pStyle w:val="ListBullet"/>
        <w:spacing w:before="0" w:after="40"/>
      </w:pPr>
      <w:r>
        <w:rPr>
          <w:sz w:val="18"/>
        </w:rPr>
        <w:t>Qualità di vita attuale e limitazioni percepite: per esempio, 0 = nessuna qualità di vita, eventualmente con pensieri suicidari; 10 = migliore qualità di vita immaginabile.</w:t>
      </w:r>
    </w:p>
    <w:p>
      <w:pPr>
        <w:pStyle w:val="ListBullet"/>
        <w:spacing w:before="0" w:after="40"/>
      </w:pPr>
      <w:r>
        <w:rPr>
          <w:sz w:val="18"/>
        </w:rPr>
        <w:t>Dolore: tipologia, a riposo o in movimento, di giorno o di notte, intensità e numero degli attacchi.</w:t>
      </w:r>
    </w:p>
    <w:p>
      <w:pPr>
        <w:pStyle w:val="ListBullet"/>
        <w:spacing w:before="0" w:after="40"/>
      </w:pPr>
      <w:r>
        <w:rPr>
          <w:sz w:val="18"/>
        </w:rPr>
        <w:t>Ore al giorno senza dolore.</w:t>
      </w:r>
    </w:p>
    <w:p>
      <w:pPr>
        <w:pStyle w:val="ListBullet"/>
        <w:spacing w:before="0" w:after="40"/>
      </w:pPr>
      <w:r>
        <w:rPr>
          <w:sz w:val="18"/>
        </w:rPr>
        <w:t>Durata del sonno continuativo e interruzioni dovute al dolore.</w:t>
      </w:r>
    </w:p>
    <w:p>
      <w:pPr>
        <w:pStyle w:val="ListBullet"/>
        <w:spacing w:before="0" w:after="40"/>
      </w:pPr>
      <w:r>
        <w:rPr>
          <w:sz w:val="18"/>
        </w:rPr>
        <w:t>Tempo necessario per addormentarsi, frequenza dei risvegli e accessi notturni alla toilette.</w:t>
      </w:r>
    </w:p>
    <w:p>
      <w:pPr>
        <w:pStyle w:val="ListBullet"/>
        <w:spacing w:before="0" w:after="40"/>
      </w:pPr>
      <w:r>
        <w:rPr>
          <w:sz w:val="18"/>
        </w:rPr>
        <w:t>Sonnolenza residua al mattino, sonno diurno, veglia notturna in ore e/o episodi.</w:t>
      </w:r>
    </w:p>
    <w:p>
      <w:pPr>
        <w:pStyle w:val="ListBullet"/>
        <w:spacing w:before="0" w:after="40"/>
      </w:pPr>
      <w:r>
        <w:rPr>
          <w:sz w:val="18"/>
        </w:rPr>
        <w:t>Spossatezza, difficoltà di concentrazione, vertigini e stordimento.</w:t>
      </w:r>
    </w:p>
    <w:p>
      <w:pPr>
        <w:pStyle w:val="ListBullet"/>
        <w:spacing w:before="0" w:after="40"/>
      </w:pPr>
      <w:r>
        <w:rPr>
          <w:sz w:val="18"/>
        </w:rPr>
        <w:t>Capacità di mantenere l'attenzione e capacità generale di concentrazione.</w:t>
      </w:r>
    </w:p>
    <w:p>
      <w:pPr>
        <w:pStyle w:val="ListBullet"/>
        <w:spacing w:before="0" w:after="40"/>
      </w:pPr>
      <w:r>
        <w:rPr>
          <w:sz w:val="18"/>
        </w:rPr>
        <w:t>Digestione.</w:t>
      </w:r>
    </w:p>
    <w:p>
      <w:pPr>
        <w:pStyle w:val="ListBullet"/>
        <w:spacing w:before="0" w:after="40"/>
      </w:pPr>
      <w:r>
        <w:rPr>
          <w:sz w:val="18"/>
        </w:rPr>
        <w:t>Autonomia nel cammino in minuti o metri, tempo dedicato all'allenamento e allo sport.</w:t>
      </w:r>
    </w:p>
    <w:p>
      <w:pPr>
        <w:pStyle w:val="ListBullet"/>
        <w:spacing w:before="0" w:after="40"/>
      </w:pPr>
      <w:r>
        <w:rPr>
          <w:sz w:val="18"/>
        </w:rPr>
        <w:t>Nausea, vomito, inappetenza e perdita di peso.</w:t>
      </w:r>
    </w:p>
    <w:p>
      <w:pPr>
        <w:pStyle w:val="ListBullet"/>
        <w:spacing w:before="0" w:after="40"/>
      </w:pPr>
      <w:r>
        <w:rPr>
          <w:sz w:val="18"/>
        </w:rPr>
        <w:t>Grado di isolamento, ritiro sociale e partecipazione alla vita sociale.</w:t>
      </w:r>
    </w:p>
    <w:p>
      <w:pPr>
        <w:pStyle w:val="ListBullet"/>
        <w:spacing w:before="0" w:after="40"/>
      </w:pPr>
      <w:r>
        <w:rPr>
          <w:sz w:val="18"/>
        </w:rPr>
        <w:t>Umore, oscillazioni dell'umore ed equilibrio emotivo.</w:t>
      </w:r>
    </w:p>
    <w:p>
      <w:pPr>
        <w:pStyle w:val="ListBullet"/>
        <w:spacing w:before="0" w:after="40"/>
      </w:pPr>
      <w:r>
        <w:rPr>
          <w:sz w:val="18"/>
        </w:rPr>
        <w:t>Spirito d'iniziativa e creatività.</w:t>
      </w:r>
    </w:p>
    <w:p>
      <w:pPr>
        <w:pStyle w:val="ListBullet"/>
        <w:spacing w:before="0" w:after="40"/>
      </w:pPr>
      <w:r>
        <w:rPr>
          <w:sz w:val="18"/>
        </w:rPr>
        <w:t>Riduzione dei medicamenti e fabbisogno di oppioidi.</w:t>
      </w:r>
    </w:p>
    <w:p>
      <w:pPr>
        <w:pStyle w:val="ListBullet"/>
        <w:spacing w:before="0" w:after="40"/>
      </w:pPr>
      <w:r>
        <w:rPr>
          <w:sz w:val="18"/>
        </w:rPr>
        <w:t>Ruoli quotidiani: capacità di svolgere il ruolo di madre o padre e di occuparsi delle incombenze amministrative domestiche.</w:t>
      </w:r>
    </w:p>
    <w:p>
      <w:pPr>
        <w:pStyle w:val="ListBullet"/>
        <w:spacing w:before="0" w:after="40"/>
      </w:pPr>
      <w:r>
        <w:rPr>
          <w:sz w:val="18"/>
        </w:rPr>
        <w:t xml:space="preserve">Capacità funzionale: lavorare o proseguire la formazione; assenze pari a </w:t>
      </w:r>
      <w:r>
        <w:rPr>
          <w:rFonts w:ascii="Satoshi Medium" w:hAnsi="Satoshi Medium" w:cs="Satoshi Medium" w:eastAsia="Satoshi Medium"/>
          <w:color w:val="1E6F5C"/>
          <w:sz w:val="18"/>
          <w:shd w:val="clear" w:color="auto" w:fill="EAF6EE"/>
        </w:rPr>
        <w:t>giorni al mese</w:t>
      </w:r>
      <w:r>
        <w:rPr>
          <w:sz w:val="18"/>
        </w:rPr>
        <w:t xml:space="preserve"> con un grado di occupazione del </w:t>
      </w:r>
      <w:r>
        <w:rPr>
          <w:rFonts w:ascii="Satoshi Medium" w:hAnsi="Satoshi Medium" w:cs="Satoshi Medium" w:eastAsia="Satoshi Medium"/>
          <w:color w:val="1E6F5C"/>
          <w:sz w:val="18"/>
          <w:shd w:val="clear" w:color="auto" w:fill="EAF6EE"/>
        </w:rPr>
        <w:t>percentuale</w:t>
      </w:r>
      <w:r>
        <w:rPr>
          <w:sz w:val="18"/>
        </w:rPr>
        <w:t>. Obiettivo: mantenere la capacità lavorativa e di guadagno.</w:t>
      </w:r>
    </w:p>
    <w:p>
      <w:pPr>
        <w:pStyle w:val="ListBullet"/>
        <w:spacing w:before="0" w:after="40"/>
      </w:pPr>
      <w:r>
        <w:rPr>
          <w:sz w:val="18"/>
        </w:rPr>
        <w:t>Ripercussioni sulle persone vicine, quali familiari e personale curante.</w:t>
      </w:r>
    </w:p>
    <w:p>
      <w:pPr>
        <w:pStyle w:val="ListBullet"/>
        <w:spacing w:before="0" w:after="40"/>
      </w:pPr>
      <w:r>
        <w:rPr>
          <w:sz w:val="18"/>
        </w:rPr>
        <w:t>Onere economico per la persona e la famiglia.</w:t>
      </w:r>
    </w:p>
    <w:p>
      <w:pPr>
        <w:pStyle w:val="ListBullet"/>
        <w:spacing w:before="0" w:after="40"/>
      </w:pPr>
      <w:r>
        <w:rPr>
          <w:sz w:val="18"/>
        </w:rPr>
        <w:t>Rischio di dipendenza dall'assistenza sociale, di ammissione in una struttura di cura o di peggioramento della situazione sociale.</w:t>
      </w:r>
    </w:p>
    <w:p>
      <w:pPr>
        <w:pStyle w:val="Heading2"/>
      </w:pPr>
      <w:r>
        <w:t>Contributo della paziente o del paziente</w:t>
      </w:r>
    </w:p>
    <w:p>
      <w:r>
        <w:t>Può essere utile rilevare, ordinare per priorità e inquadrare i disturbi e i sintomi con l'aiuto dei curanti o del personale infermieristico. La paziente o il paziente contribuisce così attivamente a personalizzare la domanda.</w:t>
      </w:r>
    </w:p>
    <w:p>
      <w:r>
        <w:t>In concreto, la persona riporta i propri sintomi nella scheda di valutazione prima dell'inizio del trattamento e dopo circa 6-8 settimane. Aggiunge poi, con parole proprie, una valutazione scritta della prova terapeutica e del suo eventuale effetto sulla qualità di vita.</w:t>
      </w:r>
    </w:p>
    <w:p>
      <w:r>
        <w:t>Per alcuni aspetti è preferibile, quando possibile, utilizzare questionari validati, che forniscono informazioni più solide. Questo dipende anche dal tempo disponibile e dalla disponibilità delle persone coinvolte nella domanda. La valutazione può essere allegata alla richiesta medica di garanzia di assunzione dei costi.</w:t>
      </w:r>
    </w:p>
    <w:p>
      <w:pPr>
        <w:spacing w:before="0" w:after="60"/>
      </w:pPr>
      <w:r>
        <w:rPr>
          <w:rFonts w:ascii="Satoshi" w:hAnsi="Satoshi" w:cs="Satoshi" w:eastAsia="Satoshi"/>
          <w:b/>
          <w:color w:val="1E6F5C"/>
          <w:sz w:val="16"/>
          <w:spacing w:val="20"/>
        </w:rPr>
        <w:t>SCHEDA DA ALLEGARE ALLA DOMANDA DEL MEDICO</w:t>
      </w:r>
    </w:p>
    <w:p>
      <w:pPr>
        <w:pageBreakBefore/>
      </w:pPr>
    </w:p>
    <w:p>
      <w:pPr>
        <w:pStyle w:val="Heading1"/>
      </w:pPr>
      <w:r>
        <w:t>Valutazione della prova terapeutica con cannabis medicinale</w:t>
      </w:r>
    </w:p>
    <w:p>
      <w:pPr>
        <w:tabs>
          <w:tab w:pos="9638" w:val="right" w:leader="underscore"/>
        </w:tabs>
        <w:spacing w:before="0" w:after="240"/>
      </w:pPr>
      <w:r>
        <w:t xml:space="preserve">Nome e cognome della paziente / del paziente </w:t>
      </w:r>
      <w:r>
        <w:tab/>
      </w:r>
    </w:p>
    <w:p>
      <w:pPr>
        <w:tabs>
          <w:tab w:pos="9638" w:val="right" w:leader="underscore"/>
        </w:tabs>
        <w:spacing w:before="0" w:after="240"/>
      </w:pPr>
      <w:r>
        <w:t xml:space="preserve">Data di nascita </w:t>
      </w:r>
      <w:r>
        <w:tab/>
      </w:r>
    </w:p>
    <w:p>
      <w:pPr>
        <w:tabs>
          <w:tab w:pos="9638" w:val="right" w:leader="underscore"/>
        </w:tabs>
        <w:spacing w:before="0" w:after="240"/>
      </w:pPr>
      <w:r>
        <w:t xml:space="preserve">Luogo, data e firma del medico curante </w:t>
      </w:r>
      <w:r>
        <w:tab/>
      </w:r>
    </w:p>
    <w:p>
      <w:pPr>
        <w:shd w:val="clear" w:color="auto" w:fill="EAF6EE"/>
        <w:pBdr>
          <w:left w:val="single" w:sz="18" w:space="8" w:color="1E6F5C"/>
        </w:pBdr>
        <w:spacing w:before="0" w:after="0"/>
        <w:ind w:left="170" w:right="0"/>
      </w:pPr>
      <w:r>
        <w:rPr>
          <w:b/>
          <w:color w:val="FFFFFF"/>
          <w:sz w:val="15"/>
          <w:shd w:val="clear" w:color="auto" w:fill="D62828"/>
        </w:rPr>
        <w:t xml:space="preserve">ESEMPIO DA ADATTARE </w:t>
      </w:r>
      <w:r>
        <w:rPr>
          <w:sz w:val="18"/>
        </w:rPr>
        <w:t xml:space="preserve"> </w:t>
      </w:r>
      <w:r>
        <w:rPr>
          <w:sz w:val="18"/>
        </w:rPr>
        <w:t>I valori e la posologia riportati riprendono l'esempio originale: sostituirli con i dati effettivi della persona. La posologia non costituisce una raccomandazione terapeutica.</w:t>
      </w:r>
    </w:p>
    <w:p>
      <w:pPr>
        <w:shd w:val="clear" w:color="auto" w:fill="EAF6EE"/>
        <w:pBdr>
          <w:left w:val="single" w:sz="18" w:space="8" w:color="1E6F5C"/>
        </w:pBdr>
        <w:spacing w:before="0" w:after="240"/>
        <w:ind w:left="170" w:right="0"/>
      </w:pPr>
      <w:r>
        <w:rPr>
          <w:sz w:val="18"/>
        </w:rPr>
        <w:t>Parametri di misura: VAS o scala numerica 0-10, tempo, metri, chilogrammi, ore e valutazione soggettiva. Specificare gli estremi di ogni scala: nelle diverse voci il punteggio 10 può indicare un sintomo più intenso oppure una funzione migliore.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855"/>
        <w:gridCol w:w="2891"/>
        <w:gridCol w:w="2891"/>
      </w:tblGrid>
      <w:tr>
        <w:trPr>
          <w:cantSplit/>
          <w:tblHeader/>
        </w:trPr>
        <w:tc>
          <w:tcPr>
            <w:tcW w:type="dxa" w:w="3855"/>
            <w:shd w:val="clear" w:color="auto" w:fill="1E6F5C"/>
          </w:tcPr>
          <w:p>
            <w:pPr>
              <w:spacing w:before="60" w:after="60" w:line="288" w:lineRule="auto"/>
            </w:pPr>
            <w:r>
              <w:rPr>
                <w:b/>
                <w:color w:val="FFFFFF"/>
                <w:sz w:val="18"/>
              </w:rPr>
              <w:t>Aspetti da valutare</w:t>
            </w:r>
          </w:p>
        </w:tc>
        <w:tc>
          <w:tcPr>
            <w:tcW w:type="dxa" w:w="2891"/>
            <w:shd w:val="clear" w:color="auto" w:fill="1E6F5C"/>
          </w:tcPr>
          <w:p>
            <w:pPr>
              <w:spacing w:before="60" w:after="60" w:line="288" w:lineRule="auto"/>
            </w:pPr>
            <w:r>
              <w:rPr>
                <w:b/>
                <w:color w:val="FFFFFF"/>
                <w:sz w:val="18"/>
              </w:rPr>
              <w:t>Prima della terapia</w:t>
            </w:r>
            <w:r>
              <w:br/>
            </w:r>
            <w:r>
              <w:rPr>
                <w:color w:val="FFFFFF"/>
                <w:sz w:val="16"/>
              </w:rPr>
              <w:t>Data: 2 dicembre (esempio)</w:t>
            </w:r>
          </w:p>
        </w:tc>
        <w:tc>
          <w:tcPr>
            <w:tcW w:type="dxa" w:w="2891"/>
            <w:shd w:val="clear" w:color="auto" w:fill="1E6F5C"/>
          </w:tcPr>
          <w:p>
            <w:pPr>
              <w:spacing w:before="60" w:after="60" w:line="288" w:lineRule="auto"/>
            </w:pPr>
            <w:r>
              <w:rPr>
                <w:b/>
                <w:color w:val="FFFFFF"/>
                <w:sz w:val="18"/>
              </w:rPr>
              <w:t>Controllo della terapia</w:t>
            </w:r>
            <w:r>
              <w:br/>
            </w:r>
            <w:r>
              <w:rPr>
                <w:color w:val="FFFFFF"/>
                <w:sz w:val="16"/>
              </w:rPr>
              <w:t>Via sublinguale, THC 5 mg/die; CBD 30 mg/die</w:t>
            </w:r>
            <w:r>
              <w:br/>
            </w:r>
            <w:r>
              <w:rPr>
                <w:color w:val="FFFFFF"/>
                <w:sz w:val="16"/>
              </w:rPr>
              <w:t>Durata: … settimane · Data: …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Dolore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durante il giorno · durante la notte · sotto sforzo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Capacità di concentrazione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0 = impossibile concentrarsi; 10 = come prima della malattia (sonno disturbato)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Ridotta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Memoria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10 = molto buona, come in passato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Ridotta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Riferita come migliorata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Perdita delle capacità cognitive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Autovalutazione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50%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Riferite come migliorate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Vertigini e sensazione di tumulto nella testa quando ci si alza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Sensazione di annebbiamento mentale diurno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Presente</w:t>
            </w:r>
            <w:r>
              <w:br/>
            </w:r>
            <w:r>
              <w:rPr>
                <w:sz w:val="18"/>
              </w:rPr>
              <w:t>Presente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Riduzione del 50%</w:t>
            </w:r>
            <w:r>
              <w:br/>
            </w:r>
            <w:r>
              <w:rPr>
                <w:sz w:val="18"/>
              </w:rPr>
              <w:t>Meno intensa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Mal di testa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Presente, soprattutto in caso di sovraccarico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Meno intenso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Difficoltà di coordinazione di braccia e gambe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Presente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Miglioramento del 30%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Scosse muscolari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Presenti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Riduzione del 20-30%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Formicolio a braccia e gambe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Presente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Riduzione del 30%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Episodi di crollo fisico («crash»), dopo i quali non si riesce più a fare nulla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… episodi/settimana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Nausea / inappetenza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0 = assenti; 10 = massima intensità sopportabile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7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Durata del sonno nelle 24 ore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14-16 ore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12 ore; nel pomeriggio solo occasionalmente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Qualità del sonno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Sonnolenza diurna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Scarsa; sonno riferito come non ristoratore né profondo</w:t>
            </w:r>
            <w:r>
              <w:br/>
            </w:r>
            <w:r>
              <w:rPr>
                <w:sz w:val="18"/>
              </w:rPr>
              <w:t>Marcata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Nettamente migliore; sonno più profondo e ristoratore</w:t>
            </w:r>
            <w:r>
              <w:br/>
            </w:r>
            <w:r>
              <w:rPr>
                <w:sz w:val="18"/>
              </w:rPr>
              <w:t>Nettamente migliorata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Umore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Depresso, privo di iniziativa; stanchezza costante; sensazione di essere un peso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Migliore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Autonomia nel cammino in minuti o metri prima di doversi sedere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50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200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Isolamento, ritiro e partecipazione alla vita sociale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0 = isolamento completo; 10 = ricerca della compagnia altrui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Circa 3/10, anche a causa delle molte ore di sonno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5/10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Qualità di vita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0 = assente; 10 = migliore possibile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4/10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6/10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Sensibilità alla luce e agli odori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Marcata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Migliore</w:t>
            </w:r>
          </w:p>
        </w:tc>
      </w:tr>
      <w:tr>
        <w:trPr>
          <w:cantSplit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rFonts w:ascii="Satoshi Medium" w:hAnsi="Satoshi Medium" w:cs="Satoshi Medium" w:eastAsia="Satoshi Medium"/>
                <w:sz w:val="18"/>
              </w:rPr>
              <w:t>Appetito</w:t>
            </w:r>
            <w:r>
              <w:br/>
            </w:r>
            <w:r>
              <w:rPr>
                <w:rFonts w:ascii="Satoshi" w:hAnsi="Satoshi" w:cs="Satoshi" w:eastAsia="Satoshi"/>
                <w:color w:val="6B7066"/>
                <w:sz w:val="16"/>
              </w:rPr>
              <w:t>0 = assente; 10 = molto buono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3/10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  <w:r>
              <w:rPr>
                <w:sz w:val="18"/>
              </w:rPr>
              <w:t>6/10</w:t>
            </w:r>
          </w:p>
        </w:tc>
      </w:tr>
      <w:tr>
        <w:trPr>
          <w:cantSplit/>
          <w:trHeight w:val="567"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</w:tr>
      <w:tr>
        <w:trPr>
          <w:cantSplit/>
          <w:trHeight w:val="567"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</w:tr>
      <w:tr>
        <w:trPr>
          <w:cantSplit/>
          <w:trHeight w:val="567"/>
        </w:trPr>
        <w:tc>
          <w:tcPr>
            <w:tcW w:type="dxa" w:w="3855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  <w:tc>
          <w:tcPr>
            <w:tcW w:type="dxa" w:w="2891"/>
            <w:tcBorders>
              <w:top w:val="nil"/>
              <w:left w:val="nil"/>
              <w:bottom w:val="single" w:sz="6" w:color="C7DCD6"/>
              <w:right w:val="nil"/>
            </w:tcBorders>
          </w:tcPr>
          <w:p>
            <w:pPr>
              <w:spacing w:before="60" w:after="60" w:line="288" w:lineRule="auto"/>
            </w:pPr>
          </w:p>
        </w:tc>
      </w:tr>
    </w:tbl>
    <w:p>
      <w:pPr>
        <w:spacing w:before="0" w:after="80" w:line="240" w:lineRule="auto"/>
      </w:pPr>
    </w:p>
    <w:p>
      <w:pPr>
        <w:pStyle w:val="Heading2"/>
      </w:pPr>
      <w:r>
        <w:t>Valutazione personale della prova terapeutica</w:t>
      </w:r>
    </w:p>
    <w:p>
      <w:pPr>
        <w:pageBreakBefore/>
      </w:pPr>
    </w:p>
    <w:p>
      <w:r>
        <w:t>Descrivere con parole proprie l'effetto della cannabis sulla qualità di vita attuale, sui sintomi, sulla capacità di svolgere le attività quotidiane e sull'umore. Indicare quali attività sono nuovamente possibili.</w:t>
      </w:r>
    </w:p>
    <w:p>
      <w:r>
        <w:rPr>
          <w:color w:val="6B7066"/>
          <w:sz w:val="17"/>
        </w:rPr>
        <w:t>La presente valutazione si riferisce alla tabella precedente e al riepilogo scritto qui sotto.</w:t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0" w:after="0" w:line="500" w:lineRule="exact"/>
      </w:pPr>
      <w:r>
        <w:rPr>
          <w:color w:val="C7DCD6"/>
        </w:rPr>
        <w:tab/>
      </w:r>
    </w:p>
    <w:p>
      <w:pPr>
        <w:tabs>
          <w:tab w:pos="9638" w:val="right" w:leader="underscore"/>
        </w:tabs>
        <w:spacing w:before="280" w:after="240"/>
      </w:pPr>
      <w:r>
        <w:t xml:space="preserve">Luogo e data </w:t>
      </w:r>
      <w:r>
        <w:tab/>
      </w:r>
    </w:p>
    <w:p>
      <w:pPr>
        <w:tabs>
          <w:tab w:pos="9638" w:val="right" w:leader="underscore"/>
        </w:tabs>
        <w:spacing w:before="0" w:after="240"/>
      </w:pPr>
      <w:r>
        <w:t xml:space="preserve">Nome e cognome della paziente / del paziente </w:t>
      </w:r>
      <w:r>
        <w:tab/>
      </w:r>
    </w:p>
    <w:p>
      <w:pPr>
        <w:tabs>
          <w:tab w:pos="9638" w:val="right" w:leader="underscore"/>
        </w:tabs>
        <w:spacing w:before="0" w:after="240"/>
      </w:pPr>
      <w:r>
        <w:t xml:space="preserve">Firma </w:t>
      </w:r>
      <w:r>
        <w:tab/>
      </w:r>
    </w:p>
    <w:p>
      <w:r>
        <w:rPr>
          <w:color w:val="6B7066"/>
          <w:sz w:val="17"/>
        </w:rPr>
        <w:t>Riferimento per le indicazioni sulla garanzia dei costi: UFSP, Rimunerazione dei medicamenti nel singolo caso,</w:t>
      </w:r>
      <w:hyperlink r:id="rId10">
        <w:r>
          <w:rPr>
            <w:color w:val="1E6F5C"/>
            <w:u w:val="single"/>
            <w:sz w:val="17"/>
          </w:rPr>
          <w:t xml:space="preserve">bag.admin.ch/it/rimborso-dei-medicamenti-nel-singolo-caso</w:t>
        </w:r>
      </w:hyperlink>
    </w:p>
    <w:sectPr w:rsidR="00FC693F" w:rsidRPr="0006063C" w:rsidSect="00034616">
      <w:footerReference w:type="default" r:id="rId11"/>
      <w:pgSz w:w="11906" w:h="16838"/>
      <w:pgMar w:top="1020" w:right="1134" w:bottom="1134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atoshi">
    <w:charset w:val="00"/>
    <w:family w:val="auto"/>
    <w:pitch w:val="variable"/>
    <w:embedRegular r:id="rIdF1" w:fontKey="{E068BF9D-D4B4-4ECB-9F42-0E33F41F9AAF}"/>
    <w:embedBold r:id="rIdF2" w:fontKey="{8DB9CE1E-5990-4507-9FCE-718553EFAE6E}"/>
  </w:font>
  <w:font w:name="Satoshi Medium">
    <w:charset w:val="00"/>
    <w:family w:val="auto"/>
    <w:pitch w:val="variable"/>
    <w:embedRegular r:id="rIdF3" w:fontKey="{2C4C058A-EB03-4BE2-B260-8D4BAB647633}"/>
  </w:font>
  <w:font w:name="Fraunces SemiBold">
    <w:charset w:val="00"/>
    <w:family w:val="auto"/>
    <w:pitch w:val="variable"/>
    <w:embedRegular r:id="rIdF4" w:fontKey="{CA735A14-3037-463C-9585-DEF1019BB49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pBdr>
        <w:top w:val="single" w:sz="6" w:space="4" w:color="C7DCD6"/>
      </w:pBdr>
    </w:pPr>
    <w:r>
      <w:rPr>
        <w:color w:val="6B7066"/>
        <w:sz w:val="15"/>
      </w:rPr>
      <w:t>canmedticino.ch · Scheda per la paziente o il paziente</w:t>
    </w:r>
    <w:r>
      <w:rPr>
        <w:color w:val="6B7066"/>
        <w:sz w:val="15"/>
      </w:rPr>
      <w:tab/>
      <w:t>Traduzione e adattamento dall'originale © Stauffacher Apotheke, Zurigo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12" w:lineRule="auto"/>
    </w:pPr>
    <w:rPr>
      <w:rFonts w:ascii="Satoshi" w:hAnsi="Satoshi" w:cs="Satoshi" w:eastAsia="Satosh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 w:line="276" w:lineRule="auto"/>
      <w:outlineLvl w:val="0"/>
    </w:pPr>
    <w:rPr>
      <w:rFonts w:asciiTheme="majorHAnsi" w:eastAsiaTheme="majorEastAsia" w:hAnsiTheme="majorHAnsi" w:cstheme="majorBidi" w:ascii="Fraunces SemiBold" w:hAnsi="Fraunces SemiBold" w:cs="Fraunces SemiBold" w:eastAsia="Fraunces SemiBold"/>
      <w:b w:val="0"/>
      <w:bCs/>
      <w:i w:val="0"/>
      <w:color w:val="1A1A1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40" w:line="276" w:lineRule="auto"/>
      <w:outlineLvl w:val="1"/>
    </w:pPr>
    <w:rPr>
      <w:rFonts w:asciiTheme="majorHAnsi" w:eastAsiaTheme="majorEastAsia" w:hAnsiTheme="majorHAnsi" w:cstheme="majorBidi" w:ascii="Fraunces SemiBold" w:hAnsi="Fraunces SemiBold" w:cs="Fraunces SemiBold" w:eastAsia="Fraunces SemiBold"/>
      <w:b w:val="0"/>
      <w:bCs/>
      <w:i w:val="0"/>
      <w:color w:val="1E6F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76" w:lineRule="auto"/>
      <w:outlineLvl w:val="2"/>
    </w:pPr>
    <w:rPr>
      <w:rFonts w:asciiTheme="majorHAnsi" w:eastAsiaTheme="majorEastAsia" w:hAnsiTheme="majorHAnsi" w:cstheme="majorBidi" w:ascii="Satoshi" w:hAnsi="Satoshi" w:cs="Satoshi" w:eastAsia="Satoshi"/>
      <w:b/>
      <w:bCs/>
      <w:i w:val="0"/>
      <w:color w:val="1A1A1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Satoshi" w:hAnsi="Satoshi" w:cs="Satoshi" w:eastAsia="Satosh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hyperlink" Target="https://www.bag.admin.ch/it/rimborso-dei-medicamenti-nel-singolo-caso" TargetMode="External"/><Relationship Id="rId11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della terapia con cannabis medicinale</dc:title>
  <dc:subject/>
  <dc:creator>CanMedTicino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