
<file path=[Content_Types].xml><?xml version="1.0" encoding="utf-8"?>
<Types xmlns="http://schemas.openxmlformats.org/package/2006/content-types">
  <Default Extension="odttf" ContentType="application/vnd.openxmlformats-officedocument.obfuscatedFont"/>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jc w:val="center"/>
        <w:tblBorders>
          <w:top w:val="nil"/>
          <w:left w:val="nil"/>
          <w:bottom w:val="nil"/>
          <w:right w:val="nil"/>
          <w:insideH w:val="nil"/>
          <w:insideV w:val="nil"/>
        </w:tblBorders>
        <w:tblLayout w:type="fixed"/>
      </w:tblPr>
      <w:tblGrid>
        <w:gridCol w:w="5102"/>
        <w:gridCol w:w="4535"/>
      </w:tblGrid>
      <w:tr>
        <w:tc>
          <w:tcPr>
            <w:tcW w:type="dxa" w:w="5102"/>
            <w:vAlign w:val="center"/>
            <w:tcBorders>
              <w:top w:val="nil"/>
              <w:left w:val="nil"/>
              <w:bottom w:val="single" w:sz="12" w:color="1E6F5C"/>
              <w:right w:val="nil"/>
            </w:tcBorders>
          </w:tcPr>
          <w:p>
            <w:pPr>
              <w:spacing w:before="0" w:after="160"/>
            </w:pPr>
            <w:r>
              <w:drawing>
                <wp:inline xmlns:a="http://schemas.openxmlformats.org/drawingml/2006/main" xmlns:pic="http://schemas.openxmlformats.org/drawingml/2006/picture">
                  <wp:extent cx="1997755" cy="468000"/>
                  <wp:docPr id="1" name="Picture 1"/>
                  <wp:cNvGraphicFramePr>
                    <a:graphicFrameLocks noChangeAspect="1"/>
                  </wp:cNvGraphicFramePr>
                  <a:graphic>
                    <a:graphicData uri="http://schemas.openxmlformats.org/drawingml/2006/picture">
                      <pic:pic>
                        <pic:nvPicPr>
                          <pic:cNvPr id="0" name="logo.jpeg"/>
                          <pic:cNvPicPr/>
                        </pic:nvPicPr>
                        <pic:blipFill>
                          <a:blip r:embed="rId9"/>
                          <a:stretch>
                            <a:fillRect/>
                          </a:stretch>
                        </pic:blipFill>
                        <pic:spPr>
                          <a:xfrm>
                            <a:off x="0" y="0"/>
                            <a:ext cx="1997755" cy="468000"/>
                          </a:xfrm>
                          <a:prstGeom prst="rect"/>
                        </pic:spPr>
                      </pic:pic>
                    </a:graphicData>
                  </a:graphic>
                </wp:inline>
              </w:drawing>
            </w:r>
          </w:p>
        </w:tc>
        <w:tc>
          <w:tcPr>
            <w:tcW w:type="dxa" w:w="4535"/>
            <w:vAlign w:val="center"/>
            <w:tcBorders>
              <w:top w:val="nil"/>
              <w:left w:val="nil"/>
              <w:bottom w:val="single" w:sz="12" w:color="1E6F5C"/>
              <w:right w:val="nil"/>
            </w:tcBorders>
          </w:tcPr>
          <w:p>
            <w:pPr>
              <w:spacing w:before="0" w:after="160"/>
              <w:jc w:val="right"/>
            </w:pPr>
            <w:r>
              <w:rPr>
                <w:rFonts w:ascii="Satoshi Medium" w:hAnsi="Satoshi Medium" w:cs="Satoshi Medium" w:eastAsia="Satoshi Medium"/>
                <w:color w:val="1E6F5C"/>
                <w:sz w:val="16"/>
                <w:spacing w:val="20"/>
              </w:rPr>
              <w:t>MODELLO · ART. 71B OAMAL</w:t>
            </w:r>
          </w:p>
        </w:tc>
      </w:tr>
    </w:tbl>
    <w:p>
      <w:pPr>
        <w:spacing w:before="0" w:after="120" w:line="240" w:lineRule="auto"/>
      </w:pPr>
    </w:p>
    <w:p>
      <w:pPr>
        <w:spacing w:before="0" w:after="60"/>
      </w:pPr>
      <w:r>
        <w:rPr>
          <w:rFonts w:ascii="Satoshi" w:hAnsi="Satoshi" w:cs="Satoshi" w:eastAsia="Satoshi"/>
          <w:b/>
          <w:color w:val="1E6F5C"/>
          <w:sz w:val="16"/>
          <w:spacing w:val="20"/>
        </w:rPr>
        <w:t>MODELLO PER L'ASSICURAZIONE OBBLIGATORIA DELLE CURE MEDICO-SANITARIE (AOMS)</w:t>
      </w:r>
    </w:p>
    <w:p>
      <w:pPr>
        <w:pStyle w:val="Heading1"/>
      </w:pPr>
      <w:r>
        <w:t>Domanda di garanzia di assunzione dei costi per una preparazione magistrale a base di cannabis</w:t>
      </w:r>
    </w:p>
    <w:p>
      <w:pPr>
        <w:shd w:val="clear" w:color="auto" w:fill="EAF6EE"/>
        <w:pBdr>
          <w:left w:val="single" w:sz="18" w:space="8" w:color="1E6F5C"/>
        </w:pBdr>
        <w:spacing w:before="0" w:after="240"/>
        <w:ind w:left="170" w:right="0"/>
      </w:pPr>
      <w:r>
        <w:rPr>
          <w:b/>
          <w:sz w:val="18"/>
        </w:rPr>
        <w:t>Come usarlo.</w:t>
      </w:r>
      <w:r>
        <w:rPr>
          <w:sz w:val="18"/>
        </w:rPr>
        <w:t xml:space="preserve"> Il medico riporta il testo sulla propria carta intestata, completa i campi evidenziati, elimina i paragrafi che non riguardano il caso, firma e allega eventuali studi. Non utilizzare per domande all'assicurazione complementare.</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819"/>
        <w:gridCol w:w="4819"/>
      </w:tblGrid>
      <w:tr>
        <w:tc>
          <w:tcPr>
            <w:tcW w:type="dxa" w:w="4819"/>
          </w:tcPr>
          <w:p>
            <w:pPr>
              <w:spacing w:before="0" w:after="0"/>
            </w:pPr>
            <w:r>
              <w:rPr>
                <w:rFonts w:ascii="Satoshi Medium" w:hAnsi="Satoshi Medium" w:cs="Satoshi Medium" w:eastAsia="Satoshi Medium"/>
                <w:color w:val="1E6F5C"/>
                <w:shd w:val="clear" w:color="auto" w:fill="EAF6EE"/>
              </w:rPr>
              <w:t>Medico</w:t>
            </w:r>
            <w:r>
              <w:br/>
            </w:r>
            <w:r>
              <w:rPr>
                <w:rFonts w:ascii="Satoshi Medium" w:hAnsi="Satoshi Medium" w:cs="Satoshi Medium" w:eastAsia="Satoshi Medium"/>
                <w:color w:val="1E6F5C"/>
                <w:shd w:val="clear" w:color="auto" w:fill="EAF6EE"/>
              </w:rPr>
              <w:t>Studio medico</w:t>
            </w:r>
            <w:r>
              <w:br/>
            </w:r>
            <w:r>
              <w:rPr>
                <w:rFonts w:ascii="Satoshi Medium" w:hAnsi="Satoshi Medium" w:cs="Satoshi Medium" w:eastAsia="Satoshi Medium"/>
                <w:color w:val="1E6F5C"/>
                <w:shd w:val="clear" w:color="auto" w:fill="EAF6EE"/>
              </w:rPr>
              <w:t>Via e numero</w:t>
            </w:r>
            <w:r>
              <w:br/>
            </w:r>
            <w:r>
              <w:rPr>
                <w:rFonts w:ascii="Satoshi Medium" w:hAnsi="Satoshi Medium" w:cs="Satoshi Medium" w:eastAsia="Satoshi Medium"/>
                <w:color w:val="1E6F5C"/>
                <w:shd w:val="clear" w:color="auto" w:fill="EAF6EE"/>
              </w:rPr>
              <w:t>NPA e località</w:t>
            </w:r>
          </w:p>
        </w:tc>
        <w:tc>
          <w:tcPr>
            <w:tcW w:type="dxa" w:w="4819"/>
          </w:tcPr>
          <w:p>
            <w:pPr>
              <w:spacing w:before="0" w:after="0"/>
            </w:pPr>
            <w:r>
              <w:rPr>
                <w:rFonts w:ascii="Satoshi Medium" w:hAnsi="Satoshi Medium" w:cs="Satoshi Medium" w:eastAsia="Satoshi Medium"/>
                <w:color w:val="1E6F5C"/>
                <w:shd w:val="clear" w:color="auto" w:fill="EAF6EE"/>
              </w:rPr>
              <w:t>Assicuratore malattia, assicurazione di base AOMS</w:t>
            </w:r>
            <w:r>
              <w:br/>
            </w:r>
            <w:r>
              <w:t>Alla cortese attenzione del Servizio del medico di fiducia</w:t>
            </w:r>
            <w:r>
              <w:br/>
            </w:r>
            <w:r>
              <w:rPr>
                <w:rFonts w:ascii="Satoshi Medium" w:hAnsi="Satoshi Medium" w:cs="Satoshi Medium" w:eastAsia="Satoshi Medium"/>
                <w:color w:val="1E6F5C"/>
                <w:shd w:val="clear" w:color="auto" w:fill="EAF6EE"/>
              </w:rPr>
              <w:t>Via e numero</w:t>
            </w:r>
            <w:r>
              <w:br/>
            </w:r>
            <w:r>
              <w:rPr>
                <w:rFonts w:ascii="Satoshi Medium" w:hAnsi="Satoshi Medium" w:cs="Satoshi Medium" w:eastAsia="Satoshi Medium"/>
                <w:color w:val="1E6F5C"/>
                <w:shd w:val="clear" w:color="auto" w:fill="EAF6EE"/>
              </w:rPr>
              <w:t>NPA e località</w:t>
            </w:r>
          </w:p>
        </w:tc>
      </w:tr>
    </w:tbl>
    <w:p>
      <w:pPr>
        <w:spacing w:before="0" w:after="120" w:line="240" w:lineRule="auto"/>
      </w:pPr>
    </w:p>
    <w:p>
      <w:pPr>
        <w:jc w:val="right"/>
      </w:pPr>
      <w:r>
        <w:rPr>
          <w:rFonts w:ascii="Satoshi Medium" w:hAnsi="Satoshi Medium" w:cs="Satoshi Medium" w:eastAsia="Satoshi Medium"/>
          <w:color w:val="1E6F5C"/>
          <w:shd w:val="clear" w:color="auto" w:fill="EAF6EE"/>
        </w:rPr>
        <w:t>Località, data</w:t>
      </w:r>
    </w:p>
    <w:p>
      <w:r>
        <w:rPr>
          <w:rFonts w:ascii="Satoshi Medium" w:hAnsi="Satoshi Medium" w:cs="Satoshi Medium" w:eastAsia="Satoshi Medium"/>
          <w:color w:val="1E6F5C"/>
          <w:shd w:val="clear" w:color="auto" w:fill="EAF6EE"/>
        </w:rPr>
        <w:t>Persona assicurata, indirizzo, data di nascita</w:t>
      </w:r>
      <w:r>
        <w:br/>
      </w:r>
      <w:r>
        <w:rPr>
          <w:rFonts w:ascii="Satoshi Medium" w:hAnsi="Satoshi Medium" w:cs="Satoshi Medium" w:eastAsia="Satoshi Medium"/>
          <w:color w:val="1E6F5C"/>
          <w:shd w:val="clear" w:color="auto" w:fill="EAF6EE"/>
        </w:rPr>
        <w:t>Numero di assicurato</w:t>
      </w:r>
    </w:p>
    <w:p>
      <w:pPr>
        <w:spacing w:before="240" w:after="200"/>
      </w:pPr>
      <w:r>
        <w:rPr>
          <w:b/>
        </w:rPr>
        <w:t xml:space="preserve">Oggetto: domanda di assunzione dei costi nel singolo caso ai sensi dell'art. 71b OAMal per </w:t>
      </w:r>
      <w:r>
        <w:rPr>
          <w:rFonts w:ascii="Satoshi Medium" w:hAnsi="Satoshi Medium" w:cs="Satoshi Medium" w:eastAsia="Satoshi Medium"/>
          <w:b/>
          <w:color w:val="1E6F5C"/>
          <w:shd w:val="clear" w:color="auto" w:fill="EAF6EE"/>
        </w:rPr>
        <w:t>preparazione magistrale a base di cannabis</w:t>
      </w:r>
    </w:p>
    <w:p>
      <w:r>
        <w:t>Gentili signore, egregi signori,</w:t>
      </w:r>
    </w:p>
    <w:p>
      <w:r>
        <w:t xml:space="preserve">per la persona assicurata sopra indicata chiedo l'assunzione dei costi, nel singolo caso, del medicamento a base di cannabis descritto di seguito. Si tratta di una preparazione magistrale allestita su prescrizione medica dalla farmacia </w:t>
      </w:r>
      <w:r>
        <w:rPr>
          <w:rFonts w:ascii="Satoshi Medium" w:hAnsi="Satoshi Medium" w:cs="Satoshi Medium" w:eastAsia="Satoshi Medium"/>
          <w:color w:val="1E6F5C"/>
          <w:shd w:val="clear" w:color="auto" w:fill="EAF6EE"/>
        </w:rPr>
        <w:t>nome e sede della farmacia preparatrice</w:t>
      </w:r>
      <w:r>
        <w:t>.</w:t>
      </w:r>
    </w:p>
    <w:p>
      <w:r>
        <w:t>Secondo la giurisprudenza del Tribunale federale (DTF 144 V 333, sentenza del 7 agosto 2018), l'art. 71b OAMal si applica anche alle preparazioni magistrali esentate dall'obbligo di omologazione. La rimunerazione di preparazioni non comprese nell'elenco delle specialità (ES) né coperte dall'elenco dei medicamenti con tariffa (EMT) è pertanto possibile se sono adempiute le condizioni applicabili.</w:t>
      </w:r>
    </w:p>
    <w:p>
      <w:r>
        <w:t>L'assunzione dei costi da parte dell'AOMS presuppone, nel caso qui descritto, che dal medicamento sia atteso un elevato beneficio terapeutico contro una malattia che può avere esito letale oppure provocare danni gravi e cronici alla salute e che, per mancanza di alternative terapeutiche, non sia disponibile un altro trattamento efficace e omologato figurante nell'ES. La valutazione e la garanzia di assunzione dei costi competono all'assicuratore, previa consultazione del medico di fiducia.</w:t>
      </w:r>
    </w:p>
    <w:p>
      <w:pPr>
        <w:pStyle w:val="Heading2"/>
      </w:pPr>
      <w:r>
        <w:t>Preparazione magistrale richiesta</w:t>
      </w:r>
    </w:p>
    <w:p>
      <w:r>
        <w:t xml:space="preserve">Preparazione: </w:t>
      </w:r>
      <w:r>
        <w:rPr>
          <w:rFonts w:ascii="Satoshi Medium" w:hAnsi="Satoshi Medium" w:cs="Satoshi Medium" w:eastAsia="Satoshi Medium"/>
          <w:color w:val="1E6F5C"/>
          <w:shd w:val="clear" w:color="auto" w:fill="EAF6EE"/>
        </w:rPr>
        <w:t>denominazione, forma farmaceutica e tenore di THC e CBD</w:t>
      </w:r>
      <w:r>
        <w:br/>
      </w:r>
      <w:r>
        <w:t xml:space="preserve"> Posologia: </w:t>
      </w:r>
      <w:r>
        <w:rPr>
          <w:rFonts w:ascii="Satoshi Medium" w:hAnsi="Satoshi Medium" w:cs="Satoshi Medium" w:eastAsia="Satoshi Medium"/>
          <w:color w:val="1E6F5C"/>
          <w:shd w:val="clear" w:color="auto" w:fill="EAF6EE"/>
        </w:rPr>
        <w:t>posologia prevista oppure effettiva, se la terapia è già iniziata</w:t>
      </w:r>
      <w:r>
        <w:br/>
      </w:r>
      <w:r>
        <w:t xml:space="preserve"> In associazione a: </w:t>
      </w:r>
      <w:r>
        <w:rPr>
          <w:rFonts w:ascii="Satoshi Medium" w:hAnsi="Satoshi Medium" w:cs="Satoshi Medium" w:eastAsia="Satoshi Medium"/>
          <w:color w:val="1E6F5C"/>
          <w:shd w:val="clear" w:color="auto" w:fill="EAF6EE"/>
        </w:rPr>
        <w:t>terapie farmacologiche e non farmacologiche in corso</w:t>
      </w:r>
      <w:r>
        <w:br/>
      </w:r>
      <w:r>
        <w:t xml:space="preserve"> Terapia con cannabis già iniziata: </w:t>
      </w:r>
      <w:r>
        <w:rPr>
          <w:rFonts w:ascii="Satoshi Medium" w:hAnsi="Satoshi Medium" w:cs="Satoshi Medium" w:eastAsia="Satoshi Medium"/>
          <w:color w:val="1E6F5C"/>
          <w:shd w:val="clear" w:color="auto" w:fill="EAF6EE"/>
        </w:rPr>
        <w:t>no / sì, indicare la data di inizio</w:t>
      </w:r>
    </w:p>
    <w:p>
      <w:pPr>
        <w:pStyle w:val="Heading2"/>
      </w:pPr>
      <w:r>
        <w:t>1. Malattia potenzialmente letale o con danni gravi e cronici alla salute</w:t>
      </w:r>
    </w:p>
    <w:p>
      <w:r>
        <w:t xml:space="preserve">La diagnosi della paziente / del paziente è: </w:t>
      </w:r>
      <w:r>
        <w:rPr>
          <w:rFonts w:ascii="Satoshi Medium" w:hAnsi="Satoshi Medium" w:cs="Satoshi Medium" w:eastAsia="Satoshi Medium"/>
          <w:color w:val="1E6F5C"/>
          <w:shd w:val="clear" w:color="auto" w:fill="EAF6EE"/>
        </w:rPr>
        <w:t>diagnosi</w:t>
      </w:r>
      <w:r>
        <w:t>.</w:t>
      </w:r>
    </w:p>
    <w:p>
      <w:r>
        <w:t xml:space="preserve">Si tratta di una malattia che può avere esito letale oppure provocare danni gravi e cronici alla salute. </w:t>
      </w:r>
      <w:r>
        <w:rPr>
          <w:rFonts w:ascii="Satoshi Medium" w:hAnsi="Satoshi Medium" w:cs="Satoshi Medium" w:eastAsia="Satoshi Medium"/>
          <w:color w:val="1E6F5C"/>
          <w:shd w:val="clear" w:color="auto" w:fill="EAF6EE"/>
        </w:rPr>
        <w:t>Motivare, ove necessario in modo dettagliato, perché tale condizione è soddisfatta nel caso concreto.</w:t>
      </w:r>
    </w:p>
    <w:p>
      <w:r>
        <w:t xml:space="preserve">La preparazione magistrale a base di cannabis indicata viene impiegata per il trattamento sintomatico di </w:t>
      </w:r>
      <w:r>
        <w:rPr>
          <w:rFonts w:ascii="Satoshi Medium" w:hAnsi="Satoshi Medium" w:cs="Satoshi Medium" w:eastAsia="Satoshi Medium"/>
          <w:color w:val="1E6F5C"/>
          <w:shd w:val="clear" w:color="auto" w:fill="EAF6EE"/>
        </w:rPr>
        <w:t>dolore, spasticità ecc.</w:t>
      </w:r>
      <w:r>
        <w:t xml:space="preserve"> nell'ambito della malattia sopra descritta.</w:t>
      </w:r>
    </w:p>
    <w:p>
      <w:pPr>
        <w:pStyle w:val="Heading2"/>
      </w:pPr>
      <w:r>
        <w:t>2. Assenza di alternative terapeutiche</w:t>
      </w:r>
    </w:p>
    <w:p>
      <w:r>
        <w:t xml:space="preserve">Per l'indicazione in questione, i medicamenti figuranti nell'ES non sono utilizzabili a causa di </w:t>
      </w:r>
      <w:r>
        <w:rPr>
          <w:rFonts w:ascii="Satoshi Medium" w:hAnsi="Satoshi Medium" w:cs="Satoshi Medium" w:eastAsia="Satoshi Medium"/>
          <w:color w:val="1E6F5C"/>
          <w:shd w:val="clear" w:color="auto" w:fill="EAF6EE"/>
        </w:rPr>
        <w:t>effetti indesiderati, controindicazioni</w:t>
      </w:r>
      <w:r>
        <w:t>. Le seguenti terapie con medicamenti figuranti nell'ES sono già state sperimentate senza successo:</w:t>
      </w:r>
    </w:p>
    <w:p>
      <w:r>
        <w:rPr>
          <w:rFonts w:ascii="Satoshi Medium" w:hAnsi="Satoshi Medium" w:cs="Satoshi Medium" w:eastAsia="Satoshi Medium"/>
          <w:color w:val="1E6F5C"/>
          <w:shd w:val="clear" w:color="auto" w:fill="EAF6EE"/>
        </w:rPr>
        <w:t>Elencare i trattamenti farmacologici già effettuati senza successo, indicando posologia, durata e motivi dell'interruzione, quali effetti indesiderati, controindicazioni o altro.</w:t>
      </w:r>
    </w:p>
    <w:p>
      <w:r>
        <w:rPr>
          <w:rFonts w:ascii="Satoshi Medium" w:hAnsi="Satoshi Medium" w:cs="Satoshi Medium" w:eastAsia="Satoshi Medium"/>
          <w:color w:val="1E6F5C"/>
          <w:shd w:val="clear" w:color="auto" w:fill="EAF6EE"/>
        </w:rPr>
        <w:t>Esempio, se pertinente: oppioidi con un profilo sfavorevole di effetti indesiderati, quali instabilità nella deambulazione e rischio di caduta per sedazione e vertigini, stitichezza, stato confusionale acuto, nausea ecc.</w:t>
      </w:r>
    </w:p>
    <w:p>
      <w:r>
        <w:rPr>
          <w:rFonts w:ascii="Satoshi Medium" w:hAnsi="Satoshi Medium" w:cs="Satoshi Medium" w:eastAsia="Satoshi Medium"/>
          <w:color w:val="1E6F5C"/>
          <w:shd w:val="clear" w:color="auto" w:fill="EAF6EE"/>
        </w:rPr>
        <w:t>Elencare, se del caso, ulteriori trattamenti farmacologici e non farmacologici che non hanno avuto successo.</w:t>
      </w:r>
    </w:p>
    <w:p>
      <w:pPr>
        <w:pStyle w:val="Heading2"/>
      </w:pPr>
      <w:r>
        <w:t>3. Elevato beneficio terapeutico della terapia con cannabis</w:t>
      </w:r>
    </w:p>
    <w:p>
      <w:pPr>
        <w:pStyle w:val="Heading3"/>
      </w:pPr>
      <w:r>
        <w:t>Se la terapia non è ancora iniziata</w:t>
      </w:r>
    </w:p>
    <w:p>
      <w:r>
        <w:t xml:space="preserve">In base agli studi allegati, dalla terapia con cannabis si attende un elevato beneficio terapeutico per </w:t>
      </w:r>
      <w:r>
        <w:rPr>
          <w:rFonts w:ascii="Satoshi Medium" w:hAnsi="Satoshi Medium" w:cs="Satoshi Medium" w:eastAsia="Satoshi Medium"/>
          <w:color w:val="1E6F5C"/>
          <w:shd w:val="clear" w:color="auto" w:fill="EAF6EE"/>
        </w:rPr>
        <w:t>dolore, spasticità, disturbi del sonno ecc.</w:t>
      </w:r>
      <w:r>
        <w:t xml:space="preserve"> </w:t>
      </w:r>
      <w:r>
        <w:rPr>
          <w:rFonts w:ascii="Satoshi Medium" w:hAnsi="Satoshi Medium" w:cs="Satoshi Medium" w:eastAsia="Satoshi Medium"/>
          <w:color w:val="1E6F5C"/>
          <w:shd w:val="clear" w:color="auto" w:fill="EAF6EE"/>
        </w:rPr>
        <w:t>Descrivere più dettagliatamente il beneficio atteso e la pertinenza degli studi rispetto alla situazione clinica.</w:t>
      </w:r>
    </w:p>
    <w:p>
      <w:r>
        <w:rPr>
          <w:rFonts w:ascii="Satoshi Medium" w:hAnsi="Satoshi Medium" w:cs="Satoshi Medium" w:eastAsia="Satoshi Medium"/>
          <w:color w:val="1E6F5C"/>
          <w:shd w:val="clear" w:color="auto" w:fill="EAF6EE"/>
        </w:rPr>
        <w:t>Allegare gli studi pertinenti. In assenza di studi, la motivazione del beneficio terapeutico risulta più difficile.</w:t>
      </w:r>
    </w:p>
    <w:p>
      <w:pPr>
        <w:pStyle w:val="Heading3"/>
      </w:pPr>
      <w:r>
        <w:t>Se la terapia è già iniziata</w:t>
      </w:r>
    </w:p>
    <w:p>
      <w:r>
        <w:t xml:space="preserve">La terapia con cannabis è già stata avviata in data </w:t>
      </w:r>
      <w:r>
        <w:rPr>
          <w:rFonts w:ascii="Satoshi Medium" w:hAnsi="Satoshi Medium" w:cs="Satoshi Medium" w:eastAsia="Satoshi Medium"/>
          <w:color w:val="1E6F5C"/>
          <w:shd w:val="clear" w:color="auto" w:fill="EAF6EE"/>
        </w:rPr>
        <w:t>data</w:t>
      </w:r>
      <w:r>
        <w:t xml:space="preserve">. Dall'inizio dell'assunzione del preparato alla posologia indicata sono stati osservati i seguenti effetti nella paziente / nel paziente: </w:t>
      </w:r>
      <w:r>
        <w:rPr>
          <w:rFonts w:ascii="Satoshi Medium" w:hAnsi="Satoshi Medium" w:cs="Satoshi Medium" w:eastAsia="Satoshi Medium"/>
          <w:color w:val="1E6F5C"/>
          <w:shd w:val="clear" w:color="auto" w:fill="EAF6EE"/>
        </w:rPr>
        <w:t>descrivere nel modo più dettagliato possibile gli effetti clinici positivi, ad esempio su dolore, sonno, stato psichico, vita sociale, attività lavorativa e qualità di vita; se disponibile, allegare il diario della paziente / del paziente</w:t>
      </w:r>
      <w:r>
        <w:t>.</w:t>
      </w:r>
    </w:p>
    <w:p>
      <w:r>
        <w:t xml:space="preserve">Il beneficio terapeutico del trattamento con cannabis è pertanto da considerarsi elevato. Tali effetti sono inoltre documentati negli studi allegati. </w:t>
      </w:r>
      <w:r>
        <w:rPr>
          <w:rFonts w:ascii="Satoshi Medium" w:hAnsi="Satoshi Medium" w:cs="Satoshi Medium" w:eastAsia="Satoshi Medium"/>
          <w:color w:val="1E6F5C"/>
          <w:shd w:val="clear" w:color="auto" w:fill="EAF6EE"/>
        </w:rPr>
        <w:t>Allegare gli studi oppure eliminare quest'ultima frase se non pertinente.</w:t>
      </w:r>
    </w:p>
    <w:p>
      <w:pPr>
        <w:pStyle w:val="Heading2"/>
      </w:pPr>
      <w:r>
        <w:t>Ulteriori elementi</w:t>
      </w:r>
    </w:p>
    <w:p>
      <w:r>
        <w:t xml:space="preserve">Grazie alla terapia con cannabis è stato possibile ridurre la posologia dei seguenti medicamenti: </w:t>
      </w:r>
      <w:r>
        <w:rPr>
          <w:rFonts w:ascii="Satoshi Medium" w:hAnsi="Satoshi Medium" w:cs="Satoshi Medium" w:eastAsia="Satoshi Medium"/>
          <w:color w:val="1E6F5C"/>
          <w:shd w:val="clear" w:color="auto" w:fill="EAF6EE"/>
        </w:rPr>
        <w:t>elencare i medicamenti</w:t>
      </w:r>
      <w:r>
        <w:t xml:space="preserve">. È stato inoltre possibile sospendere completamente i seguenti medicamenti: </w:t>
      </w:r>
      <w:r>
        <w:rPr>
          <w:rFonts w:ascii="Satoshi Medium" w:hAnsi="Satoshi Medium" w:cs="Satoshi Medium" w:eastAsia="Satoshi Medium"/>
          <w:color w:val="1E6F5C"/>
          <w:shd w:val="clear" w:color="auto" w:fill="EAF6EE"/>
        </w:rPr>
        <w:t>elencare i medicamenti</w:t>
      </w:r>
      <w:r>
        <w:t xml:space="preserve">. Ciò comporta un risparmio di CHF </w:t>
      </w:r>
      <w:r>
        <w:rPr>
          <w:rFonts w:ascii="Satoshi Medium" w:hAnsi="Satoshi Medium" w:cs="Satoshi Medium" w:eastAsia="Satoshi Medium"/>
          <w:color w:val="1E6F5C"/>
          <w:shd w:val="clear" w:color="auto" w:fill="EAF6EE"/>
        </w:rPr>
        <w:t>importo e periodo di riferimento</w:t>
      </w:r>
      <w:r>
        <w:t>.</w:t>
      </w:r>
    </w:p>
    <w:p>
      <w:r>
        <w:rPr>
          <w:rFonts w:ascii="Satoshi Medium" w:hAnsi="Satoshi Medium" w:cs="Satoshi Medium" w:eastAsia="Satoshi Medium"/>
          <w:color w:val="1E6F5C"/>
          <w:shd w:val="clear" w:color="auto" w:fill="EAF6EE"/>
        </w:rPr>
        <w:t>Se non pertinente, eliminare le singole frasi o l'intero paragrafo.</w:t>
      </w:r>
    </w:p>
    <w:p>
      <w:r>
        <w:t>Come risulta da quanto esposto, ritengo elevato il beneficio terapeutico della terapia con cannabis per la paziente / il paziente in questione. Il trattamento è inoltre impiegato contro una malattia che può avere esito letale oppure provocare danni gravi e cronici alla salute. Non sono disponibili, o non lo sono più, alternative terapeutiche efficaci e appropriate. Ritengo pertanto sufficientemente soddisfatti i criteri dell'art. 71b OAMal e chiedo l'assunzione dei costi della preparazione magistrale indicata.</w:t>
      </w:r>
    </w:p>
    <w:p>
      <w:r>
        <w:t>Vi ringrazio per l'attento esame della presente domanda e resto a disposizione per eventuali chiarimenti.</w:t>
      </w:r>
    </w:p>
    <w:p>
      <w:r>
        <w:t>Cordiali saluti</w:t>
      </w:r>
    </w:p>
    <w:p>
      <w:pPr>
        <w:spacing w:before="400" w:after="140"/>
      </w:pPr>
      <w:r>
        <w:rPr>
          <w:rFonts w:ascii="Satoshi Medium" w:hAnsi="Satoshi Medium" w:cs="Satoshi Medium" w:eastAsia="Satoshi Medium"/>
          <w:color w:val="1E6F5C"/>
          <w:shd w:val="clear" w:color="auto" w:fill="EAF6EE"/>
        </w:rPr>
        <w:t>Firma del medico</w:t>
      </w:r>
    </w:p>
    <w:p>
      <w:pPr>
        <w:pStyle w:val="Heading2"/>
      </w:pPr>
      <w:r>
        <w:t>Riferimenti</w:t>
      </w:r>
    </w:p>
    <w:p>
      <w:pPr>
        <w:pStyle w:val="ListBullet"/>
        <w:spacing w:before="0" w:after="40"/>
      </w:pPr>
      <w:r>
        <w:rPr>
          <w:color w:val="6B7066"/>
          <w:sz w:val="17"/>
        </w:rPr>
        <w:t>Tribunale federale, DTF 144 V 333, sentenza del 7 agosto 2018, cause 9C_730/2017 e 9C_737/2017. Testo:</w:t>
      </w:r>
      <w:hyperlink r:id="rId10">
        <w:r>
          <w:rPr>
            <w:color w:val="1E6F5C"/>
            <w:u w:val="single"/>
            <w:sz w:val="17"/>
          </w:rPr>
          <w:t xml:space="preserve">servat.unibe.ch/dfr/bge/c5144333.html</w:t>
        </w:r>
      </w:hyperlink>
    </w:p>
    <w:p>
      <w:pPr>
        <w:pStyle w:val="ListBullet"/>
        <w:spacing w:before="0" w:after="40"/>
      </w:pPr>
      <w:r>
        <w:rPr>
          <w:color w:val="6B7066"/>
          <w:sz w:val="17"/>
        </w:rPr>
        <w:t>UFSP, Rimunerazione dei medicamenti nel singolo caso:</w:t>
      </w:r>
      <w:hyperlink r:id="rId11">
        <w:r>
          <w:rPr>
            <w:color w:val="1E6F5C"/>
            <w:u w:val="single"/>
            <w:sz w:val="17"/>
          </w:rPr>
          <w:t xml:space="preserve">bag.admin.ch/it/rimborso-dei-medicamenti-nel-singolo-caso</w:t>
        </w:r>
      </w:hyperlink>
    </w:p>
    <w:p>
      <w:pPr>
        <w:pStyle w:val="ListBullet"/>
        <w:spacing w:before="0" w:after="40"/>
      </w:pPr>
      <w:r>
        <w:rPr>
          <w:color w:val="6B7066"/>
          <w:sz w:val="17"/>
        </w:rPr>
        <w:t>Base normativa: ordinanza sull'assicurazione malattie (OAMal; RS 832.102), art. 71b in relazione agli art. 71a e 71d.</w:t>
      </w:r>
    </w:p>
    <w:sectPr w:rsidR="00FC693F" w:rsidRPr="0006063C" w:rsidSect="00034616">
      <w:footerReference w:type="default" r:id="rId12"/>
      <w:pgSz w:w="11906" w:h="16838"/>
      <w:pgMar w:top="1020" w:right="1134" w:bottom="1134" w:left="1134"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Satoshi">
    <w:charset w:val="00"/>
    <w:family w:val="auto"/>
    <w:pitch w:val="variable"/>
    <w:embedRegular r:id="rIdF1" w:fontKey="{9775C41B-B0E3-48BE-992A-C85B52D3B921}"/>
    <w:embedBold r:id="rIdF2" w:fontKey="{B45DFD95-EBD1-49F8-B2CF-46BCEA773AC3}"/>
  </w:font>
  <w:font w:name="Satoshi Medium">
    <w:charset w:val="00"/>
    <w:family w:val="auto"/>
    <w:pitch w:val="variable"/>
    <w:embedRegular r:id="rIdF3" w:fontKey="{50A4AE37-2312-41C5-B8FD-57968B8A2391}"/>
  </w:font>
  <w:font w:name="Fraunces SemiBold">
    <w:charset w:val="00"/>
    <w:family w:val="auto"/>
    <w:pitch w:val="variable"/>
    <w:embedRegular r:id="rIdF4" w:fontKey="{EE242F2C-4996-4305-AF9E-C11F1B29962F}"/>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Bdr>
        <w:top w:val="single" w:sz="6" w:space="4" w:color="C7DCD6"/>
      </w:pBdr>
    </w:pPr>
    <w:r>
      <w:rPr>
        <w:color w:val="6B7066"/>
        <w:sz w:val="15"/>
      </w:rPr>
      <w:t>canmedticino.ch · Modello per il medico curante</w:t>
    </w:r>
    <w:r>
      <w:rPr>
        <w:color w:val="6B7066"/>
        <w:sz w:val="15"/>
      </w:rPr>
      <w:tab/>
      <w:t>Traduzione e adattamento dall'originale © Stauffacher Apotheke, Zurigo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12" w:lineRule="auto"/>
    </w:pPr>
    <w:rPr>
      <w:rFonts w:ascii="Satoshi" w:hAnsi="Satoshi" w:cs="Satoshi" w:eastAsia="Satoshi"/>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80" w:line="276" w:lineRule="auto"/>
      <w:outlineLvl w:val="0"/>
    </w:pPr>
    <w:rPr>
      <w:rFonts w:asciiTheme="majorHAnsi" w:eastAsiaTheme="majorEastAsia" w:hAnsiTheme="majorHAnsi" w:cstheme="majorBidi" w:ascii="Fraunces SemiBold" w:hAnsi="Fraunces SemiBold" w:cs="Fraunces SemiBold" w:eastAsia="Fraunces SemiBold"/>
      <w:b w:val="0"/>
      <w:bCs/>
      <w:i w:val="0"/>
      <w:color w:val="1A1A1A"/>
      <w:sz w:val="40"/>
      <w:szCs w:val="28"/>
    </w:rPr>
  </w:style>
  <w:style w:type="paragraph" w:styleId="Heading2">
    <w:name w:val="heading 2"/>
    <w:basedOn w:val="Normal"/>
    <w:next w:val="Normal"/>
    <w:link w:val="Heading2Char"/>
    <w:uiPriority w:val="9"/>
    <w:unhideWhenUsed/>
    <w:qFormat/>
    <w:rsid w:val="00FC693F"/>
    <w:pPr>
      <w:keepNext/>
      <w:keepLines/>
      <w:spacing w:before="360" w:after="140" w:line="276" w:lineRule="auto"/>
      <w:outlineLvl w:val="1"/>
    </w:pPr>
    <w:rPr>
      <w:rFonts w:asciiTheme="majorHAnsi" w:eastAsiaTheme="majorEastAsia" w:hAnsiTheme="majorHAnsi" w:cstheme="majorBidi" w:ascii="Fraunces SemiBold" w:hAnsi="Fraunces SemiBold" w:cs="Fraunces SemiBold" w:eastAsia="Fraunces SemiBold"/>
      <w:b w:val="0"/>
      <w:bCs/>
      <w:i w:val="0"/>
      <w:color w:val="1E6F5C"/>
      <w:sz w:val="26"/>
      <w:szCs w:val="26"/>
    </w:rPr>
  </w:style>
  <w:style w:type="paragraph" w:styleId="Heading3">
    <w:name w:val="heading 3"/>
    <w:basedOn w:val="Normal"/>
    <w:next w:val="Normal"/>
    <w:link w:val="Heading3Char"/>
    <w:uiPriority w:val="9"/>
    <w:unhideWhenUsed/>
    <w:qFormat/>
    <w:rsid w:val="00FC693F"/>
    <w:pPr>
      <w:keepNext/>
      <w:keepLines/>
      <w:spacing w:before="200" w:after="80" w:line="276" w:lineRule="auto"/>
      <w:outlineLvl w:val="2"/>
    </w:pPr>
    <w:rPr>
      <w:rFonts w:asciiTheme="majorHAnsi" w:eastAsiaTheme="majorEastAsia" w:hAnsiTheme="majorHAnsi" w:cstheme="majorBidi" w:ascii="Satoshi" w:hAnsi="Satoshi" w:cs="Satoshi" w:eastAsia="Satoshi"/>
      <w:b/>
      <w:bCs/>
      <w:i w:val="0"/>
      <w:color w:val="1A1A1A"/>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Satoshi" w:hAnsi="Satoshi" w:cs="Satoshi" w:eastAsia="Satosh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hyperlink" Target="https://www.servat.unibe.ch/dfr/bge/c5144333.html" TargetMode="External"/><Relationship Id="rId11" Type="http://schemas.openxmlformats.org/officeDocument/2006/relationships/hyperlink" Target="https://www.bag.admin.ch/it/rimborso-dei-medicamenti-nel-singolo-caso" TargetMode="External"/><Relationship Id="rId12" Type="http://schemas.openxmlformats.org/officeDocument/2006/relationships/footer" Target="footer1.xml"/></Relationships>
</file>

<file path=word/_rels/fontTable.xml.rels><?xml version="1.0" encoding="UTF-8" standalone="yes"?><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garanzia dei costi – art. 71b OAMal</dc:title>
  <dc:subject/>
  <dc:creator>CanMedTicino</dc:creator>
  <cp:keywords/>
  <dc:description>generated by python-docx</dc:description>
  <cp:lastModifiedBy/>
  <cp:revision>1</cp:revision>
  <dcterms:created xsi:type="dcterms:W3CDTF">2013-12-23T23:15:00Z</dcterms:created>
  <dcterms:modified xsi:type="dcterms:W3CDTF">2013-12-23T23:15:00Z</dcterms:modified>
  <cp:category/>
</cp:coreProperties>
</file>